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6682" w:tblpY="1398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9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10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-20个工作日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</w:t>
      </w:r>
      <w:r>
        <w:rPr>
          <w:rFonts w:hint="eastAsia" w:ascii="宋体" w:hAnsi="宋体" w:cs="宋体"/>
          <w:kern w:val="0"/>
          <w:sz w:val="24"/>
          <w:lang w:eastAsia="zh-CN"/>
        </w:rPr>
        <w:t>和高温恒温试验箱</w:t>
      </w:r>
      <w:r>
        <w:rPr>
          <w:rFonts w:hint="eastAsia" w:ascii="宋体" w:hAnsi="宋体" w:cs="宋体"/>
          <w:kern w:val="0"/>
          <w:sz w:val="24"/>
        </w:rPr>
        <w:t>，引进德国先进技术，采用合理的结构设计，选用进口优质部件，具有稳定、安全、可靠的品质。</w:t>
      </w:r>
    </w:p>
    <w:p>
      <w:pPr>
        <w:rPr>
          <w:rStyle w:val="7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、采用最新的风道系统设计，箱体内不同位置的温度均匀性好；</w:t>
      </w:r>
    </w:p>
    <w:p>
      <w:pPr>
        <w:ind w:right="-191" w:rightChars="-91"/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pPr>
        <w:rPr>
          <w:rStyle w:val="7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、欧洲原装进口温度一体传感器，灵敏度高，年漂移低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、进口温度控制器，感应快，系统误差小；</w:t>
      </w:r>
    </w:p>
    <w:p>
      <w:pPr>
        <w:rPr>
          <w:rStyle w:val="7"/>
          <w:rFonts w:ascii="Verdana" w:hAnsi="Verdana"/>
          <w:b w:val="0"/>
          <w:color w:val="000000"/>
          <w:sz w:val="23"/>
          <w:szCs w:val="23"/>
        </w:rPr>
      </w:pPr>
      <w:r>
        <w:rPr>
          <w:rStyle w:val="7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7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7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10"/>
        <w:tblW w:w="10260" w:type="dxa"/>
        <w:tblInd w:w="-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2115"/>
        <w:gridCol w:w="675"/>
        <w:gridCol w:w="705"/>
        <w:gridCol w:w="1165"/>
        <w:gridCol w:w="1155"/>
        <w:gridCol w:w="1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产品名称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型 号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单 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数 量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出厂价（元）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优惠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价（元）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150GW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250GW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500GW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1000GW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4"/>
                <w:lang w:val="en-US" w:eastAsia="zh-CN"/>
              </w:rPr>
            </w:pPr>
            <w:r>
              <w:rPr>
                <w:rFonts w:hint="eastAsia" w:ascii="黑体" w:hAnsi="宋体" w:eastAsia="黑体"/>
                <w:sz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宋体" w:eastAsia="黑体"/>
                <w:b/>
                <w:color w:val="auto"/>
                <w:szCs w:val="21"/>
                <w:lang w:val="en-US" w:eastAsia="zh-CN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/>
                <w:b/>
                <w:color w:val="FF0000"/>
                <w:sz w:val="24"/>
                <w:lang w:val="en-US" w:eastAsia="zh-CN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 w:rightChars="0"/>
              <w:jc w:val="center"/>
              <w:rPr>
                <w:rFonts w:hint="eastAsia" w:ascii="宋体" w:hAnsi="宋体" w:eastAsia="宋体"/>
                <w:b w:val="0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发票</w:t>
            </w:r>
          </w:p>
        </w:tc>
        <w:tc>
          <w:tcPr>
            <w:tcW w:w="7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/>
                <w:b/>
                <w:color w:val="FF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10"/>
        <w:tblW w:w="951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8225"/>
        <w:gridCol w:w="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2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70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58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  <w:tc>
          <w:tcPr>
            <w:tcW w:w="822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       100L~1000L；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      RT+10～200℃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温度偏差：     ±2.0℃；温度波动±0.5℃；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温度控制器:    原装进口数显表控制器；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      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安全装置：    带超温保护功能；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   AC 220V±10% 50HZ（AC 380V±10% 50HZ）；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02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7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10"/>
        <w:tblpPr w:leftFromText="180" w:rightFromText="180" w:vertAnchor="text" w:horzAnchor="page" w:tblpX="737" w:tblpY="460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4192"/>
        <w:gridCol w:w="4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型号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Labonce-100GW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Labonce-250GW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控温范围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RT+10～200℃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RT+10～200℃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控温波动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温度偏差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±2.0℃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±2.0℃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温度传感器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控制器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数显表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二重保护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独立超温保护系统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工作环境温度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＋5～35℃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内胆材质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外壳材质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电源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AC 220V±10%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最大功率（kW）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容积 (L)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left="210" w:leftChars="100" w:firstLine="0" w:firstLineChars="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W×D×H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450×450×500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600×600×700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left="210" w:leftChars="100" w:firstLine="0" w:firstLineChars="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W×D×H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1100×700×800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1250×850×1000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搁板(标配)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 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tbl>
      <w:tblPr>
        <w:tblStyle w:val="10"/>
        <w:tblpPr w:leftFromText="180" w:rightFromText="180" w:vertAnchor="text" w:horzAnchor="page" w:tblpX="737" w:tblpY="460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4192"/>
        <w:gridCol w:w="4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高温恒温试验箱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型号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Labonce-500GW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Labonce-1000GW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控温范围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RT+10～200℃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RT+10～200℃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控温波动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温度偏差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±2.0℃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±2.0℃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温度传感器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PT100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控制器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数显表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数显表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二重保护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独立超温保护系统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工作环境温度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＋5～35℃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内胆材质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不锈钢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外壳材质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电源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AC 220V±10%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最大功率（kW）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3.5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容积 (L)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left="210" w:leftChars="100" w:firstLine="0" w:firstLineChars="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内部尺寸(mm)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W×D×H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800×700×900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1000×1000×1000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left="210" w:leftChars="100" w:firstLine="0" w:firstLineChars="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外形尺寸(mm)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W×D×H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1450×1200×1200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1650×1650×1300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搁板(标配)</w:t>
            </w:r>
          </w:p>
        </w:tc>
        <w:tc>
          <w:tcPr>
            <w:tcW w:w="4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19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备注 </w:t>
            </w:r>
          </w:p>
        </w:tc>
        <w:tc>
          <w:tcPr>
            <w:tcW w:w="83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+Fyu1QAAAAgBAAAP&#10;AAAAAAAAAAEAIAAAACIAAABkcnMvZG93bnJldi54bWxQSwECFAAUAAAACACHTuJAOJf5u+IBAACg&#10;AwAADgAAAAAAAAABACAAAAAk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eastAsia="宋体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方案编号：YS201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80809-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3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G7Wvnm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eastAsia="宋体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方案编号：YS201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80809-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3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4" name="图片 1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51C27"/>
    <w:rsid w:val="14AA17AD"/>
    <w:rsid w:val="17E82FE5"/>
    <w:rsid w:val="4AB57973"/>
    <w:rsid w:val="58BC0965"/>
    <w:rsid w:val="60B91A33"/>
    <w:rsid w:val="6D535020"/>
    <w:rsid w:val="71366F72"/>
    <w:rsid w:val="77C35B07"/>
    <w:rsid w:val="792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1">
    <w:name w:val="style231"/>
    <w:basedOn w:val="6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6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2018-08-09T02:50:00Z</dcterms:created>
  <dc:creator>兰贝石WKH</dc:creator>
  <cp:lastModifiedBy>初夏的雨点1380354935</cp:lastModifiedBy>
  <dcterms:modified xsi:type="dcterms:W3CDTF">2018-08-30T08:48:37Z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